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60" w:lineRule="exact"/>
        <w:ind w:firstLine="883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亳州魏武国有资本投资控股集团有限公司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2"/>
          <w:szCs w:val="32"/>
          <w:highlight w:val="none"/>
          <w:shd w:val="clear" w:color="auto" w:fill="FFFFFF"/>
          <w:lang w:val="en-US" w:eastAsia="zh-CN" w:bidi="ar"/>
        </w:rPr>
        <w:t>2023年工作人员公开招聘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D626D86"/>
    <w:rsid w:val="196E7C21"/>
    <w:rsid w:val="1C14696E"/>
    <w:rsid w:val="222F3BF9"/>
    <w:rsid w:val="24953B99"/>
    <w:rsid w:val="2B492F58"/>
    <w:rsid w:val="4FCC526F"/>
    <w:rsid w:val="58DA3BB7"/>
    <w:rsid w:val="657C55A7"/>
    <w:rsid w:val="668A4E22"/>
    <w:rsid w:val="6EE3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217</Characters>
  <Lines>0</Lines>
  <Paragraphs>0</Paragraphs>
  <TotalTime>9</TotalTime>
  <ScaleCrop>false</ScaleCrop>
  <LinksUpToDate>false</LinksUpToDate>
  <CharactersWithSpaces>271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柯耀成</cp:lastModifiedBy>
  <dcterms:modified xsi:type="dcterms:W3CDTF">2023-03-22T02:35:48Z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D91570865DBB46B59BE0EC395F45F726</vt:lpwstr>
  </property>
</Properties>
</file>